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37" w:rsidRPr="00C354E1" w:rsidRDefault="00FC2937" w:rsidP="00FC2937">
      <w:pPr>
        <w:rPr>
          <w:rFonts w:ascii="仿宋_GB2312" w:eastAsia="仿宋_GB2312" w:hAnsi="黑体" w:cs="黑体" w:hint="eastAsia"/>
          <w:b/>
          <w:bCs/>
          <w:sz w:val="32"/>
          <w:szCs w:val="32"/>
        </w:rPr>
      </w:pPr>
      <w:r w:rsidRPr="00C354E1">
        <w:rPr>
          <w:rFonts w:ascii="仿宋_GB2312" w:eastAsia="仿宋_GB2312" w:hAnsi="黑体" w:cs="黑体" w:hint="eastAsia"/>
          <w:b/>
          <w:sz w:val="32"/>
          <w:szCs w:val="32"/>
        </w:rPr>
        <w:t>附件2：</w:t>
      </w:r>
    </w:p>
    <w:p w:rsidR="00FC2937" w:rsidRPr="00C354E1" w:rsidRDefault="00FC2937" w:rsidP="00FC2937">
      <w:pPr>
        <w:adjustRightInd w:val="0"/>
        <w:snapToGrid w:val="0"/>
        <w:spacing w:line="276" w:lineRule="auto"/>
        <w:jc w:val="center"/>
        <w:rPr>
          <w:rFonts w:ascii="宋体" w:hAnsi="宋体" w:cs="宋体" w:hint="eastAsia"/>
          <w:b/>
          <w:bCs/>
          <w:sz w:val="36"/>
          <w:szCs w:val="36"/>
        </w:rPr>
      </w:pPr>
      <w:r w:rsidRPr="00C354E1">
        <w:rPr>
          <w:rFonts w:ascii="宋体" w:hAnsi="宋体" w:cs="宋体" w:hint="eastAsia"/>
          <w:b/>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354E1">
        <w:rPr>
          <w:rFonts w:ascii="宋体" w:hAnsi="宋体" w:cs="宋体" w:hint="eastAsia"/>
          <w:b/>
          <w:bCs/>
          <w:sz w:val="36"/>
          <w:szCs w:val="36"/>
        </w:rPr>
        <w:instrText>ADDIN CNKISM.UserStyle</w:instrText>
      </w:r>
      <w:r w:rsidRPr="00C354E1">
        <w:rPr>
          <w:rFonts w:ascii="宋体" w:hAnsi="宋体" w:cs="宋体" w:hint="eastAsia"/>
          <w:b/>
          <w:bCs/>
          <w:sz w:val="36"/>
          <w:szCs w:val="36"/>
        </w:rPr>
      </w:r>
      <w:r w:rsidRPr="00C354E1">
        <w:rPr>
          <w:rFonts w:ascii="宋体" w:hAnsi="宋体" w:cs="宋体" w:hint="eastAsia"/>
          <w:b/>
          <w:bCs/>
          <w:sz w:val="36"/>
          <w:szCs w:val="36"/>
        </w:rPr>
        <w:fldChar w:fldCharType="end"/>
      </w:r>
      <w:r w:rsidRPr="00C354E1">
        <w:rPr>
          <w:rFonts w:ascii="宋体" w:hAnsi="宋体" w:cs="宋体" w:hint="eastAsia"/>
          <w:b/>
          <w:bCs/>
          <w:sz w:val="36"/>
          <w:szCs w:val="36"/>
        </w:rPr>
        <w:t>河北经贸大学经济管理学院</w:t>
      </w:r>
    </w:p>
    <w:p w:rsidR="00FC2937" w:rsidRPr="00C354E1" w:rsidRDefault="00FC2937" w:rsidP="00FC2937">
      <w:pPr>
        <w:adjustRightInd w:val="0"/>
        <w:snapToGrid w:val="0"/>
        <w:spacing w:line="276" w:lineRule="auto"/>
        <w:jc w:val="center"/>
        <w:rPr>
          <w:rFonts w:ascii="宋体" w:hAnsi="宋体" w:cs="宋体"/>
          <w:b/>
          <w:bCs/>
          <w:sz w:val="36"/>
          <w:szCs w:val="36"/>
        </w:rPr>
      </w:pPr>
      <w:r w:rsidRPr="00C354E1">
        <w:rPr>
          <w:rFonts w:ascii="宋体" w:hAnsi="宋体" w:cs="宋体" w:hint="eastAsia"/>
          <w:b/>
          <w:bCs/>
          <w:sz w:val="36"/>
          <w:szCs w:val="36"/>
        </w:rPr>
        <w:t>2018年暑期社会实践活动参考选题</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京津冀三地大学生培养社会主义核心价值观情况比较调研</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中小学加强和创新社会主义价值观培育的典型调查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当地传统文化传承情况调研</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精准扶贫行动中实现“精准脱贫、稳定脱贫”案例研究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全面建成小康社会丰富实践的典型调查研究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推进五大发展理念成功案例调查研究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失地农民生存现状调查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农村和城市养老问题调研</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河北农村生态环境现状调查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美丽乡村可持续发展研究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城市共享经济未来发展调研</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城市居民环保行为现状调查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对城市有毒垃圾处理现状的调研</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农民工社会融入的新举措新经验调查研究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城中村第二代居民的生存现状调研</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乡镇企业的生存现状、发展瓶颈问题调研</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河北籍高校毕业生回乡就业创业情况调查研究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大学生创业成功案例研究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限房政策下的房地产市场现状调研</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lastRenderedPageBreak/>
        <w:t>构建以企业为主体、市场为导向、产学研相结合的技术创新体系实践和经验的调查研究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志愿者事业的发展状况和影响调查研究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社会办医, 非盈利性医疗机构的发展与改革调查研究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运用中华优秀传统文化推进社会主义核心价值观教育的实践与经验调查研究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用马克思主义中国化最新成果武装头脑, 推进发展改革的典型调查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培育和践行社会主义核心价值观的实践和经验典型调查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基于供给侧改革的京津冀农业产业结构调整研究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农村 “精准扶贫” 典型与经验调查研究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建设统一开放、竞争有序的现代市场体系的典型调查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智慧城市建设多种模式的典型调查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农村电商与京津冀协同发展的互动作用</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农村社会保障与公共事务治理典型与经验调查研究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我国粮食和农产品安全的调查研究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农民工返乡创业的调查研究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互联网推动工业企业技术创新的调查研究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互联网金融风险典型调查研究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“一带一路”战略与我国开放型经济新体制建设的理论与实践</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工业绿色转型中环保服务业发展研究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我省深入实施“中国制造2025”行动纲领政策措施研究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lastRenderedPageBreak/>
        <w:t>普惠金融发展案例的典型调查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推动供给侧结构性改革的典型调查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我省妥善处置“僵尸企业”研究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探索扶贫脱贫的发展理念与战略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贫困山区新农村建设典型范例研究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我省农村贫困村贫困原因分析及对策研究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雄安新区城建融资与金融体制改革创新研究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科技、教育、文化在脱贫中的作用研究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河北省高新产业园区创新协同与集群效应研究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各地加强社会建设和创新社会治理的典型调查研究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各地加强和完善社区建设和服务的实践和经验调查研究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改善促进民生推进社会保障事业的典型调查研究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“互联网+”背景下京津冀城乡流通一体化模式创新研究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就业方式和就业观念转变的调查研究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京津冀协同发展背景下环京津地区城镇化问题研究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各地建设社会养老服务体系和发展老年服务产业的调查研究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社会安全感现状和原因调查分析</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社会工作服务活动和组织建设的调查研究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社会救助工作体制和状况调查研究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推进基层医疗卫生机构综合改革的典型调查研究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城市务工人员医疗保险改革和创新典型调查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社会办医, 非盈利性医疗机构的发展与改革调查研究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lastRenderedPageBreak/>
        <w:t>网络发展及其对青少年影响的调查</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公众的环境生态意识及其测评研究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当前社会心态变化趋势研究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农村土地流转与社会主义新农村建设问题研究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雄安新区非首都功能集中承载地建设研究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推动雄安新区绿色智慧新城功能落地的建议</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雄安新区创新驱动发展引领区打造研究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有效加强雄安新区与京津及河北其他地区融合发展的分析与建议</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京津冀区域旅游休闲一体化发展研究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京津冀区域基础设施建设一体化发展研究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京津冀区域公共服务一体化发展研究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2022北京冬奥会对高校体育教育的影响</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各地法律援助工作的发展和创新实践调查研究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社会舆论监督的法律问题研究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提高司法公信力的改革和建设实践与经验调查研究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学校提高学生审美和人文素质的改革与创新调查研究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当代大学生价值取向和心理素质的调查分析</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各类学校完善中华优秀传统文化教育的实践和经验调查研究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关于大学生创新创业的几点思考</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校园文化、学生社团的调查研究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我省地方戏曲传承与振兴研究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河北红色革命文化资源挖掘提炼传承研究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lastRenderedPageBreak/>
        <w:t>我省“特色小镇”建设中“产城人文”融合问题研究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 xml:space="preserve">推动“河北精神”内化为河北人民精神品质研究 </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京津冀生态旅游发展研究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雄安新区特色文化与特区精神研究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河北承担主体责任推进雄安新区建设发展思路研究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特色小镇开发与新型旅游产业体系构建研究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京津冀一体化语境下河北文化产业创新发展路径研究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京津冀协同发展带给河北的机遇与挑战</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区域一体化视角下京津冀协同发展研究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“去产能”背景下的河北钢企何去何从</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金融助推脱贫攻坚政策实施现状及对策研究</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社会力量参与精准扶贫的可行性调研</w:t>
      </w:r>
      <w:bookmarkStart w:id="0" w:name="_GoBack"/>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2022年北京冬奥会对张家口发展的影响</w:t>
      </w:r>
    </w:p>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新形势下高校共青团思想政治工作面临的挑战和对策研究</w:t>
      </w:r>
    </w:p>
    <w:bookmarkEnd w:id="0"/>
    <w:p w:rsidR="00FC2937" w:rsidRDefault="00FC2937" w:rsidP="00FC2937">
      <w:pPr>
        <w:numPr>
          <w:ilvl w:val="0"/>
          <w:numId w:val="1"/>
        </w:numPr>
        <w:spacing w:line="276" w:lineRule="auto"/>
        <w:rPr>
          <w:rFonts w:ascii="宋体" w:hAnsi="宋体" w:cs="宋体"/>
          <w:sz w:val="28"/>
          <w:szCs w:val="28"/>
        </w:rPr>
      </w:pPr>
      <w:r>
        <w:rPr>
          <w:rFonts w:ascii="宋体" w:hAnsi="宋体" w:cs="宋体" w:hint="eastAsia"/>
          <w:sz w:val="28"/>
          <w:szCs w:val="28"/>
        </w:rPr>
        <w:t>高校共青团改革困境及对策研究</w:t>
      </w:r>
    </w:p>
    <w:p w:rsidR="00AC55E4" w:rsidRPr="00FC2937" w:rsidRDefault="00AC55E4"/>
    <w:sectPr w:rsidR="00AC55E4" w:rsidRPr="00FC2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406F4"/>
    <w:multiLevelType w:val="singleLevel"/>
    <w:tmpl w:val="593406F4"/>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37"/>
    <w:rsid w:val="00AC55E4"/>
    <w:rsid w:val="00FC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Huili</dc:creator>
  <cp:lastModifiedBy>Huili</cp:lastModifiedBy>
  <cp:revision>1</cp:revision>
  <dcterms:created xsi:type="dcterms:W3CDTF">2018-06-01T09:18:00Z</dcterms:created>
  <dcterms:modified xsi:type="dcterms:W3CDTF">2018-06-01T09:18:00Z</dcterms:modified>
</cp:coreProperties>
</file>